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60" w:rsidRDefault="00FE5F7C">
      <w:r>
        <w:rPr>
          <w:noProof/>
          <w:lang w:val="en-US"/>
        </w:rPr>
        <w:drawing>
          <wp:inline distT="0" distB="0" distL="0" distR="0" wp14:anchorId="0E20F646">
            <wp:extent cx="3609340" cy="3225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F7C" w:rsidRDefault="00FE5F7C">
      <w:r>
        <w:t xml:space="preserve">The figure above </w:t>
      </w:r>
      <w:r w:rsidRPr="00FE5F7C">
        <w:t xml:space="preserve">shows that </w:t>
      </w:r>
      <w:proofErr w:type="spellStart"/>
      <w:r w:rsidRPr="00FE5F7C">
        <w:t>Tah</w:t>
      </w:r>
      <w:proofErr w:type="spellEnd"/>
      <w:r w:rsidRPr="00FE5F7C">
        <w:t xml:space="preserve"> et al. equation was used in the Comparative Standards in the </w:t>
      </w:r>
      <w:proofErr w:type="spellStart"/>
      <w:r w:rsidRPr="00FE5F7C">
        <w:t>iPesakit</w:t>
      </w:r>
      <w:proofErr w:type="spellEnd"/>
      <w:r w:rsidRPr="00FE5F7C">
        <w:t xml:space="preserve"> system UMMC to calculate energy requirement for ventilated critically ill patients before nutrition intervention done by dietitians in UMMC.</w:t>
      </w:r>
    </w:p>
    <w:p w:rsidR="009E0A76" w:rsidRDefault="009E0A76">
      <w:bookmarkStart w:id="0" w:name="_GoBack"/>
      <w:bookmarkEnd w:id="0"/>
      <w:r>
        <w:rPr>
          <w:noProof/>
          <w:lang w:val="en-US"/>
        </w:rPr>
        <w:lastRenderedPageBreak/>
        <w:drawing>
          <wp:inline distT="0" distB="0" distL="0" distR="0" wp14:anchorId="35F85864">
            <wp:extent cx="4401820" cy="4694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69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E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7C"/>
    <w:rsid w:val="006E0960"/>
    <w:rsid w:val="009E0A76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7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UMMC</dc:creator>
  <cp:lastModifiedBy>UMMC</cp:lastModifiedBy>
  <cp:revision>2</cp:revision>
  <dcterms:created xsi:type="dcterms:W3CDTF">2023-07-14T03:00:00Z</dcterms:created>
  <dcterms:modified xsi:type="dcterms:W3CDTF">2023-07-14T03:28:00Z</dcterms:modified>
</cp:coreProperties>
</file>